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07979E7"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C12D8F">
        <w:rPr>
          <w:rFonts w:cs="Arial"/>
          <w:bCs/>
          <w:noProof w:val="0"/>
          <w:sz w:val="24"/>
          <w:szCs w:val="24"/>
        </w:rPr>
        <w:t>3508</w:t>
      </w:r>
    </w:p>
    <w:bookmarkEnd w:id="0"/>
    <w:p w14:paraId="5669B020" w14:textId="64F9FA14" w:rsidR="004C654E" w:rsidRPr="00484DBF" w:rsidRDefault="00CA520A" w:rsidP="004C654E">
      <w:pPr>
        <w:pStyle w:val="Header"/>
        <w:tabs>
          <w:tab w:val="left" w:pos="2410"/>
        </w:tabs>
        <w:rPr>
          <w:rFonts w:eastAsia="MS Mincho" w:cs="Arial"/>
          <w:sz w:val="24"/>
          <w:szCs w:val="24"/>
          <w:lang w:val="en-US"/>
        </w:rPr>
      </w:pPr>
      <w:r>
        <w:rPr>
          <w:rFonts w:eastAsia="MS Mincho" w:cs="Arial"/>
          <w:sz w:val="24"/>
          <w:szCs w:val="24"/>
          <w:lang w:val="en-US"/>
        </w:rPr>
        <w:t>Ljubljana, Slovenia, EU</w:t>
      </w:r>
      <w:r w:rsidR="00FC5FE8">
        <w:rPr>
          <w:rFonts w:eastAsia="MS Mincho" w:cs="Arial"/>
          <w:sz w:val="24"/>
          <w:szCs w:val="24"/>
          <w:lang w:val="en-US"/>
        </w:rPr>
        <w:t xml:space="preserve">, </w:t>
      </w:r>
      <w:r>
        <w:rPr>
          <w:rFonts w:eastAsia="MS Mincho" w:cs="Arial"/>
          <w:sz w:val="24"/>
          <w:szCs w:val="24"/>
          <w:lang w:val="en-US"/>
        </w:rPr>
        <w:t>26</w:t>
      </w:r>
      <w:r w:rsidR="00FC5FE8">
        <w:rPr>
          <w:rFonts w:eastAsia="MS Mincho" w:cs="Arial"/>
          <w:sz w:val="24"/>
          <w:szCs w:val="24"/>
          <w:lang w:val="en-US"/>
        </w:rPr>
        <w:t>-</w:t>
      </w:r>
      <w:r>
        <w:rPr>
          <w:rFonts w:eastAsia="MS Mincho" w:cs="Arial"/>
          <w:sz w:val="24"/>
          <w:szCs w:val="24"/>
          <w:lang w:val="en-US"/>
        </w:rPr>
        <w:t>30</w:t>
      </w:r>
      <w:r w:rsidR="00FC5FE8">
        <w:rPr>
          <w:rFonts w:eastAsia="MS Mincho" w:cs="Arial"/>
          <w:sz w:val="24"/>
          <w:szCs w:val="24"/>
          <w:lang w:val="en-US"/>
        </w:rPr>
        <w:t xml:space="preserve"> </w:t>
      </w:r>
      <w:r>
        <w:rPr>
          <w:rFonts w:eastAsia="MS Mincho" w:cs="Arial"/>
          <w:sz w:val="24"/>
          <w:szCs w:val="24"/>
          <w:lang w:val="en-US"/>
        </w:rPr>
        <w:t>Aug</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2FF2300"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12D8F">
        <w:rPr>
          <w:rFonts w:cs="Arial"/>
          <w:b/>
          <w:bCs/>
          <w:sz w:val="24"/>
        </w:rPr>
        <w:t>9.3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4588655"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A30E37">
        <w:rPr>
          <w:rFonts w:ascii="Arial" w:hAnsi="Arial" w:cs="Arial"/>
          <w:b/>
          <w:bCs/>
          <w:sz w:val="24"/>
        </w:rPr>
        <w:t xml:space="preserve">Correction to the </w:t>
      </w:r>
      <w:r w:rsidR="00143C24">
        <w:rPr>
          <w:rFonts w:ascii="Arial" w:hAnsi="Arial" w:cs="Arial"/>
          <w:b/>
          <w:bCs/>
          <w:sz w:val="24"/>
        </w:rPr>
        <w:t>partial reset</w:t>
      </w:r>
      <w:r w:rsidR="00A30E37">
        <w:rPr>
          <w:rFonts w:ascii="Arial" w:hAnsi="Arial" w:cs="Arial"/>
          <w:b/>
          <w:bCs/>
          <w:sz w:val="24"/>
        </w:rPr>
        <w:t xml:space="preserve"> to handle split CU-DU scenarios</w:t>
      </w:r>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0F5DFDB5" w14:textId="3F8FFD9C" w:rsidR="008572DC" w:rsidRDefault="00A30E37" w:rsidP="008572DC">
      <w:pPr>
        <w:rPr>
          <w:lang w:val="en-US"/>
        </w:rPr>
      </w:pPr>
      <w:bookmarkStart w:id="2" w:name="_Toc474247438"/>
      <w:r>
        <w:rPr>
          <w:lang w:val="en-US"/>
        </w:rPr>
        <w:t>At RAN3 #</w:t>
      </w:r>
      <w:r w:rsidR="00BA7C82">
        <w:rPr>
          <w:lang w:val="en-US"/>
        </w:rPr>
        <w:t>99-bis</w:t>
      </w:r>
      <w:r>
        <w:rPr>
          <w:lang w:val="en-US"/>
        </w:rPr>
        <w:t xml:space="preserve"> meeting, it was agreed that </w:t>
      </w:r>
      <w:r w:rsidR="00143C24">
        <w:rPr>
          <w:lang w:val="en-US"/>
        </w:rPr>
        <w:t>partial reset</w:t>
      </w:r>
      <w:r>
        <w:rPr>
          <w:lang w:val="en-US"/>
        </w:rPr>
        <w:t xml:space="preserve"> </w:t>
      </w:r>
      <w:r w:rsidR="00143C24">
        <w:rPr>
          <w:lang w:val="en-US"/>
        </w:rPr>
        <w:t>over X2 would</w:t>
      </w:r>
      <w:r>
        <w:rPr>
          <w:lang w:val="en-US"/>
        </w:rPr>
        <w:t xml:space="preserve"> be enabled </w:t>
      </w:r>
      <w:r w:rsidR="00BA7C82">
        <w:rPr>
          <w:lang w:val="en-US"/>
        </w:rPr>
        <w:t xml:space="preserve">[1] </w:t>
      </w:r>
      <w:r>
        <w:rPr>
          <w:lang w:val="en-US"/>
        </w:rPr>
        <w:t xml:space="preserve">(later it was also added in </w:t>
      </w:r>
      <w:proofErr w:type="spellStart"/>
      <w:r>
        <w:rPr>
          <w:lang w:val="en-US"/>
        </w:rPr>
        <w:t>Xn</w:t>
      </w:r>
      <w:proofErr w:type="spellEnd"/>
      <w:r>
        <w:rPr>
          <w:lang w:val="en-US"/>
        </w:rPr>
        <w:t xml:space="preserve">). The motivation was that a failure of a cell (or cells) in the </w:t>
      </w:r>
      <w:proofErr w:type="spellStart"/>
      <w:r w:rsidR="00143C24">
        <w:rPr>
          <w:lang w:val="en-US"/>
        </w:rPr>
        <w:t>en</w:t>
      </w:r>
      <w:proofErr w:type="spellEnd"/>
      <w:r w:rsidR="00143C24">
        <w:rPr>
          <w:lang w:val="en-US"/>
        </w:rPr>
        <w:t>-gNB</w:t>
      </w:r>
      <w:r>
        <w:rPr>
          <w:lang w:val="en-US"/>
        </w:rPr>
        <w:t xml:space="preserve"> during EN-DC operation will require releasing </w:t>
      </w:r>
      <w:proofErr w:type="gramStart"/>
      <w:r>
        <w:rPr>
          <w:lang w:val="en-US"/>
        </w:rPr>
        <w:t>a number of</w:t>
      </w:r>
      <w:proofErr w:type="gramEnd"/>
      <w:r>
        <w:rPr>
          <w:lang w:val="en-US"/>
        </w:rPr>
        <w:t xml:space="preserve"> UEs and using individual release for each will trigger excessive signaling. The procedure was designed in a similar way like the partial reset is designed in S1.</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68995893" w14:textId="30FE93F9" w:rsidR="006E71D5" w:rsidRDefault="00A30E37" w:rsidP="0041566D">
      <w:r>
        <w:t xml:space="preserve">The current partial reset is effective to inform the MN that some UEs are “lost” in the SN. However, in the case CU and DU are separated, failure of a DU does not mean </w:t>
      </w:r>
      <w:proofErr w:type="gramStart"/>
      <w:r>
        <w:t>all of</w:t>
      </w:r>
      <w:proofErr w:type="gramEnd"/>
      <w:r>
        <w:t xml:space="preserve"> the UE context is lost – especially in case of SN-terminated bearers, where the PDCP is hosted in the CU. </w:t>
      </w:r>
      <w:proofErr w:type="gramStart"/>
      <w:r>
        <w:t>In particular, DL</w:t>
      </w:r>
      <w:proofErr w:type="gramEnd"/>
      <w:r>
        <w:t xml:space="preserve"> data keeps flowing to the PDCP entity. Therefore, plain release seems too drastic – instead a “graceful release” should be enabled so that the affected UEs can be handed over to the MN without data loss.</w:t>
      </w:r>
    </w:p>
    <w:p w14:paraId="072E4B28" w14:textId="1192896D" w:rsidR="00A30E37" w:rsidRPr="00A30E37" w:rsidRDefault="00A30E37" w:rsidP="0041566D">
      <w:pPr>
        <w:rPr>
          <w:b/>
        </w:rPr>
      </w:pPr>
      <w:r w:rsidRPr="00A30E37">
        <w:rPr>
          <w:b/>
        </w:rPr>
        <w:t xml:space="preserve">Proposal 1: In order to </w:t>
      </w:r>
      <w:r w:rsidR="00143C24">
        <w:rPr>
          <w:b/>
        </w:rPr>
        <w:t>make partial reset fully functional</w:t>
      </w:r>
      <w:r w:rsidRPr="00A30E37">
        <w:rPr>
          <w:b/>
        </w:rPr>
        <w:t xml:space="preserve">, </w:t>
      </w:r>
      <w:r w:rsidR="00143C24">
        <w:rPr>
          <w:b/>
        </w:rPr>
        <w:t>PDCP transfer</w:t>
      </w:r>
      <w:r w:rsidRPr="00A30E37">
        <w:rPr>
          <w:b/>
        </w:rPr>
        <w:t xml:space="preserve"> shall be enabled for the affected UEs.</w:t>
      </w:r>
    </w:p>
    <w:p w14:paraId="70FA1469" w14:textId="2095A9ED" w:rsidR="00A30E37" w:rsidRDefault="00143C24" w:rsidP="0041566D">
      <w:r>
        <w:t xml:space="preserve">PDCP transfer is enabled in both, the MN-initiated and the SN-initiated release procedures. Therefore, the information included there can be copied to the partial reset procedure. </w:t>
      </w:r>
      <w:r w:rsidR="00BA7C82">
        <w:t>S</w:t>
      </w:r>
      <w:r>
        <w:t xml:space="preserve">ince the partial reset may be initiated by either of the nodes, the information </w:t>
      </w:r>
      <w:proofErr w:type="gramStart"/>
      <w:r>
        <w:t>has to</w:t>
      </w:r>
      <w:proofErr w:type="gramEnd"/>
      <w:r>
        <w:t xml:space="preserve"> be “doubled” in the signalling. Nonetheless, copying it will help maintain consistency with the existing procedures. There, the needed information is:</w:t>
      </w:r>
    </w:p>
    <w:p w14:paraId="06FB13FF" w14:textId="7821704C" w:rsidR="00143C24" w:rsidRPr="00143C24" w:rsidRDefault="00143C24" w:rsidP="00143C24">
      <w:pPr>
        <w:pStyle w:val="ListParagraph"/>
        <w:numPr>
          <w:ilvl w:val="0"/>
          <w:numId w:val="30"/>
        </w:numPr>
        <w:spacing w:after="180"/>
        <w:ind w:left="714" w:hanging="357"/>
        <w:rPr>
          <w:sz w:val="20"/>
          <w:szCs w:val="20"/>
        </w:rPr>
      </w:pPr>
      <w:r w:rsidRPr="00143C24">
        <w:rPr>
          <w:sz w:val="20"/>
          <w:szCs w:val="20"/>
        </w:rPr>
        <w:t>Data forwarding addresses;</w:t>
      </w:r>
    </w:p>
    <w:p w14:paraId="35DE0FC4" w14:textId="48F3F7C4" w:rsidR="00143C24" w:rsidRDefault="00143C24" w:rsidP="00143C24">
      <w:pPr>
        <w:pStyle w:val="ListParagraph"/>
        <w:numPr>
          <w:ilvl w:val="0"/>
          <w:numId w:val="30"/>
        </w:numPr>
        <w:spacing w:after="180"/>
        <w:ind w:left="714" w:hanging="357"/>
        <w:rPr>
          <w:sz w:val="20"/>
          <w:szCs w:val="20"/>
        </w:rPr>
      </w:pPr>
      <w:r w:rsidRPr="00143C24">
        <w:rPr>
          <w:sz w:val="20"/>
          <w:szCs w:val="20"/>
        </w:rPr>
        <w:t>RLC Mode used in the SN;</w:t>
      </w:r>
    </w:p>
    <w:p w14:paraId="53364A1A" w14:textId="5A199BA6" w:rsidR="00BA7C82" w:rsidRDefault="00BA7C82" w:rsidP="00143C24">
      <w:r>
        <w:t xml:space="preserve">In X2, this information used for the release procedures is defined in the same ASN.1 section where the PDUs are defined. On the other hand, the lists of the UEs that are subject to the reset are defined in the IE section (both, the information about the partial reset and the confirmation use the same list). Therefore, reusing the </w:t>
      </w:r>
      <w:r w:rsidR="003A549E">
        <w:t>existing lists requires either transferring the lists from the PDU section to the IE section or importing them there (which is not desirable). Since in X2AP, the ERAB lists are typically defined with the PDUs, we propose to redefine them for the purpose of the partial reset in the IE section.</w:t>
      </w:r>
    </w:p>
    <w:p w14:paraId="6219CD05" w14:textId="454D3D67" w:rsidR="003A549E" w:rsidRPr="00A30E37" w:rsidRDefault="003A549E" w:rsidP="003A549E">
      <w:pPr>
        <w:rPr>
          <w:b/>
        </w:rPr>
      </w:pPr>
      <w:r w:rsidRPr="00A30E37">
        <w:rPr>
          <w:b/>
        </w:rPr>
        <w:t xml:space="preserve">Proposal </w:t>
      </w:r>
      <w:r>
        <w:rPr>
          <w:b/>
        </w:rPr>
        <w:t>2</w:t>
      </w:r>
      <w:r w:rsidRPr="00A30E37">
        <w:rPr>
          <w:b/>
        </w:rPr>
        <w:t xml:space="preserve">: </w:t>
      </w:r>
      <w:r>
        <w:rPr>
          <w:b/>
        </w:rPr>
        <w:t>In X2AP, the information needed for PDCP transfer is defined anew and added to the list of UEs affected by the partial reset. The tabular definition of the messages is corrected to reflect that the same IE is used in the “required” and “confirm” messages.</w:t>
      </w:r>
    </w:p>
    <w:p w14:paraId="5274FB02" w14:textId="0EDE5A5B" w:rsidR="00143C24" w:rsidRDefault="00143C24" w:rsidP="00143C24">
      <w:r>
        <w:t xml:space="preserve">In case of </w:t>
      </w:r>
      <w:proofErr w:type="spellStart"/>
      <w:r>
        <w:t>Xn</w:t>
      </w:r>
      <w:proofErr w:type="spellEnd"/>
      <w:r>
        <w:t xml:space="preserve">, the situation is </w:t>
      </w:r>
      <w:r w:rsidR="003A549E">
        <w:t xml:space="preserve">similar: the lists of PDU sessions to be released are defined together with the PDUs. However, in </w:t>
      </w:r>
      <w:proofErr w:type="spellStart"/>
      <w:r w:rsidR="003A549E">
        <w:t>XnAP</w:t>
      </w:r>
      <w:proofErr w:type="spellEnd"/>
      <w:r w:rsidR="003A549E">
        <w:t xml:space="preserve">, normally those lists are defined in the IE section. Therefore, in </w:t>
      </w:r>
      <w:proofErr w:type="spellStart"/>
      <w:r w:rsidR="003A549E">
        <w:t>XnAP</w:t>
      </w:r>
      <w:proofErr w:type="spellEnd"/>
      <w:r w:rsidR="003A549E">
        <w:t>, it is better to move the definition of the list of PDU sessions to release to the IE section and use it directly.</w:t>
      </w:r>
    </w:p>
    <w:p w14:paraId="033D1AD2" w14:textId="05DDB7E1" w:rsidR="003A549E" w:rsidRPr="00143C24" w:rsidRDefault="003A549E" w:rsidP="00143C24">
      <w:r>
        <w:t xml:space="preserve">Another problem with the </w:t>
      </w:r>
      <w:proofErr w:type="spellStart"/>
      <w:r>
        <w:t>XnAP</w:t>
      </w:r>
      <w:proofErr w:type="spellEnd"/>
      <w:r>
        <w:t xml:space="preserve"> is the mapping of the PDU sessions on the DRBs. In a classic release, for SN-terminated bearers, there is 3</w:t>
      </w:r>
      <w:r w:rsidRPr="003A549E">
        <w:rPr>
          <w:vertAlign w:val="superscript"/>
        </w:rPr>
        <w:t>rd</w:t>
      </w:r>
      <w:r>
        <w:t xml:space="preserve"> message to provide the TEID addresses only after the SN provides the mapping. This creates a problem for the partial reset: if signalling is to be saved, using a separate procedure for each affected UE undermines the purpose of the partial reset. Therefore, the only way is to define a new procedure for </w:t>
      </w:r>
      <w:proofErr w:type="spellStart"/>
      <w:r>
        <w:t>XnAP</w:t>
      </w:r>
      <w:proofErr w:type="spellEnd"/>
      <w:r>
        <w:t xml:space="preserve"> to transfer TEIDs for all the UEs in one message.</w:t>
      </w:r>
    </w:p>
    <w:p w14:paraId="6603B051" w14:textId="55006AE2" w:rsidR="00143C24" w:rsidRPr="00A30E37" w:rsidRDefault="00143C24" w:rsidP="00143C24">
      <w:pPr>
        <w:rPr>
          <w:b/>
        </w:rPr>
      </w:pPr>
      <w:r w:rsidRPr="00A30E37">
        <w:rPr>
          <w:b/>
        </w:rPr>
        <w:lastRenderedPageBreak/>
        <w:t xml:space="preserve">Proposal </w:t>
      </w:r>
      <w:r w:rsidR="008211F5">
        <w:rPr>
          <w:b/>
        </w:rPr>
        <w:t xml:space="preserve">3: </w:t>
      </w:r>
      <w:r w:rsidR="00305E95">
        <w:rPr>
          <w:b/>
        </w:rPr>
        <w:t xml:space="preserve">In </w:t>
      </w:r>
      <w:proofErr w:type="spellStart"/>
      <w:r w:rsidR="00305E95">
        <w:rPr>
          <w:b/>
        </w:rPr>
        <w:t>XnAP</w:t>
      </w:r>
      <w:proofErr w:type="spellEnd"/>
      <w:r w:rsidR="00305E95">
        <w:rPr>
          <w:b/>
        </w:rPr>
        <w:t>, the needed containers with information about PDU sessions to release are transferred to the IE section. For the TEID information, a new procedure is defined.</w:t>
      </w:r>
    </w:p>
    <w:p w14:paraId="28E42E52" w14:textId="77777777" w:rsidR="000F16C4" w:rsidRPr="005F10C3" w:rsidRDefault="00CD2620" w:rsidP="00E00CEF">
      <w:pPr>
        <w:pStyle w:val="Heading1"/>
      </w:pPr>
      <w:r w:rsidRPr="005F10C3">
        <w:t>3</w:t>
      </w:r>
      <w:r w:rsidR="000F16C4" w:rsidRPr="005F10C3">
        <w:tab/>
      </w:r>
      <w:r w:rsidRPr="005F10C3">
        <w:t>Conclusions</w:t>
      </w:r>
    </w:p>
    <w:p w14:paraId="446D9785" w14:textId="3B89191B" w:rsidR="00666CD2" w:rsidRDefault="00C12D8F" w:rsidP="009F482E">
      <w:pPr>
        <w:jc w:val="both"/>
        <w:rPr>
          <w:bCs/>
          <w:lang w:val="en-US"/>
        </w:rPr>
      </w:pPr>
      <w:r>
        <w:rPr>
          <w:bCs/>
          <w:lang w:val="en-US"/>
        </w:rPr>
        <w:t xml:space="preserve">In this paper, we discuss the situation where, due to DU failure, the SN </w:t>
      </w:r>
      <w:proofErr w:type="gramStart"/>
      <w:r>
        <w:rPr>
          <w:bCs/>
          <w:lang w:val="en-US"/>
        </w:rPr>
        <w:t>has to</w:t>
      </w:r>
      <w:proofErr w:type="gramEnd"/>
      <w:r>
        <w:rPr>
          <w:bCs/>
          <w:lang w:val="en-US"/>
        </w:rPr>
        <w:t xml:space="preserve"> reset multiple UE contexts. Currently, it is possible only in a “hard” way, where the SCG part is abruptly released. However, since the PDCP is handled in the CU, this may not be necessary. We propose therefore:</w:t>
      </w:r>
    </w:p>
    <w:p w14:paraId="1594F58E" w14:textId="46DF4263" w:rsidR="00C12D8F" w:rsidRPr="00C12D8F" w:rsidRDefault="00C12D8F" w:rsidP="00C12D8F">
      <w:pPr>
        <w:pStyle w:val="ListParagraph"/>
        <w:numPr>
          <w:ilvl w:val="0"/>
          <w:numId w:val="31"/>
        </w:numPr>
        <w:spacing w:after="180"/>
        <w:ind w:left="714" w:hanging="357"/>
        <w:contextualSpacing w:val="0"/>
        <w:jc w:val="both"/>
        <w:rPr>
          <w:bCs/>
          <w:sz w:val="20"/>
          <w:szCs w:val="20"/>
        </w:rPr>
      </w:pPr>
      <w:r w:rsidRPr="00C12D8F">
        <w:rPr>
          <w:bCs/>
          <w:sz w:val="20"/>
          <w:szCs w:val="20"/>
        </w:rPr>
        <w:t>In order to make partial reset fully functional, PDCP transfer shall be enabled for the affected UEs.</w:t>
      </w:r>
    </w:p>
    <w:p w14:paraId="7E02BB1C" w14:textId="4E01647B" w:rsidR="00C12D8F" w:rsidRPr="00C12D8F" w:rsidRDefault="00C12D8F" w:rsidP="00C12D8F">
      <w:pPr>
        <w:pStyle w:val="ListParagraph"/>
        <w:numPr>
          <w:ilvl w:val="0"/>
          <w:numId w:val="31"/>
        </w:numPr>
        <w:spacing w:after="180"/>
        <w:ind w:left="714" w:hanging="357"/>
        <w:contextualSpacing w:val="0"/>
        <w:jc w:val="both"/>
        <w:rPr>
          <w:bCs/>
          <w:sz w:val="20"/>
          <w:szCs w:val="20"/>
        </w:rPr>
      </w:pPr>
      <w:r w:rsidRPr="00C12D8F">
        <w:rPr>
          <w:bCs/>
          <w:sz w:val="20"/>
          <w:szCs w:val="20"/>
        </w:rPr>
        <w:t>In X2AP, the information needed for PDCP transfer is defined anew and added to the list of UEs affected by the partial reset. The tabular definition of the messages is corrected to reflect that the same IE is used in the “required” and “confirm” messages.</w:t>
      </w:r>
    </w:p>
    <w:p w14:paraId="2678969B" w14:textId="099A17AC" w:rsidR="00C12D8F" w:rsidRPr="00C12D8F" w:rsidRDefault="00C12D8F" w:rsidP="00C12D8F">
      <w:pPr>
        <w:pStyle w:val="ListParagraph"/>
        <w:numPr>
          <w:ilvl w:val="0"/>
          <w:numId w:val="31"/>
        </w:numPr>
        <w:spacing w:after="180"/>
        <w:ind w:left="714" w:hanging="357"/>
        <w:contextualSpacing w:val="0"/>
        <w:jc w:val="both"/>
        <w:rPr>
          <w:bCs/>
          <w:sz w:val="20"/>
          <w:szCs w:val="20"/>
        </w:rPr>
      </w:pPr>
      <w:r w:rsidRPr="00C12D8F">
        <w:rPr>
          <w:bCs/>
          <w:sz w:val="20"/>
          <w:szCs w:val="20"/>
        </w:rPr>
        <w:t xml:space="preserve">In </w:t>
      </w:r>
      <w:proofErr w:type="spellStart"/>
      <w:r w:rsidRPr="00C12D8F">
        <w:rPr>
          <w:bCs/>
          <w:sz w:val="20"/>
          <w:szCs w:val="20"/>
        </w:rPr>
        <w:t>XnAP</w:t>
      </w:r>
      <w:proofErr w:type="spellEnd"/>
      <w:r w:rsidRPr="00C12D8F">
        <w:rPr>
          <w:bCs/>
          <w:sz w:val="20"/>
          <w:szCs w:val="20"/>
        </w:rPr>
        <w:t>, the needed containers with information about PDU sessions to release are transferred to the IE section. For the TEID information, a new procedure is defined.</w:t>
      </w:r>
    </w:p>
    <w:p w14:paraId="778AD15C" w14:textId="47D9622A" w:rsidR="00C12D8F" w:rsidRDefault="00C12D8F" w:rsidP="009F482E">
      <w:pPr>
        <w:jc w:val="both"/>
        <w:rPr>
          <w:bCs/>
          <w:lang w:val="en-US"/>
        </w:rPr>
      </w:pPr>
      <w:r>
        <w:rPr>
          <w:bCs/>
          <w:lang w:val="en-US"/>
        </w:rPr>
        <w:t xml:space="preserve">The needed changes are proposed for X2 [2] and </w:t>
      </w:r>
      <w:proofErr w:type="spellStart"/>
      <w:r>
        <w:rPr>
          <w:bCs/>
          <w:lang w:val="en-US"/>
        </w:rPr>
        <w:t>Xn</w:t>
      </w:r>
      <w:proofErr w:type="spellEnd"/>
      <w:r>
        <w:rPr>
          <w:bCs/>
          <w:lang w:val="en-US"/>
        </w:rPr>
        <w:t xml:space="preserve"> [3].</w:t>
      </w:r>
    </w:p>
    <w:p w14:paraId="483F8717" w14:textId="77777777" w:rsidR="00403B9B" w:rsidRPr="006E13D1" w:rsidRDefault="00403B9B" w:rsidP="00403B9B">
      <w:pPr>
        <w:pStyle w:val="Heading1"/>
      </w:pPr>
      <w:r w:rsidRPr="006E13D1">
        <w:t>References</w:t>
      </w:r>
    </w:p>
    <w:p w14:paraId="3DE2A0DA" w14:textId="44D6E997" w:rsidR="00EF4630" w:rsidRDefault="00846E32" w:rsidP="00671901">
      <w:pPr>
        <w:numPr>
          <w:ilvl w:val="0"/>
          <w:numId w:val="4"/>
        </w:numPr>
        <w:overflowPunct w:val="0"/>
        <w:autoSpaceDE w:val="0"/>
        <w:autoSpaceDN w:val="0"/>
        <w:adjustRightInd w:val="0"/>
        <w:textAlignment w:val="baseline"/>
        <w:rPr>
          <w:lang w:val="en-US"/>
        </w:rPr>
      </w:pPr>
      <w:bookmarkStart w:id="3" w:name="_Hlk4571997"/>
      <w:r>
        <w:rPr>
          <w:lang w:val="en-US"/>
        </w:rPr>
        <w:t>R3-1</w:t>
      </w:r>
      <w:r w:rsidR="00BA7C82">
        <w:rPr>
          <w:lang w:val="en-US"/>
        </w:rPr>
        <w:t>82484</w:t>
      </w:r>
      <w:r>
        <w:rPr>
          <w:lang w:val="en-US"/>
        </w:rPr>
        <w:t>, RAN3 #</w:t>
      </w:r>
      <w:r w:rsidR="00BA7C82">
        <w:rPr>
          <w:lang w:val="en-US"/>
        </w:rPr>
        <w:t>99-bis</w:t>
      </w:r>
    </w:p>
    <w:p w14:paraId="32859371" w14:textId="4B464791" w:rsidR="00C12D8F" w:rsidRDefault="00C12D8F" w:rsidP="00C12D8F">
      <w:pPr>
        <w:numPr>
          <w:ilvl w:val="0"/>
          <w:numId w:val="4"/>
        </w:numPr>
        <w:overflowPunct w:val="0"/>
        <w:autoSpaceDE w:val="0"/>
        <w:autoSpaceDN w:val="0"/>
        <w:adjustRightInd w:val="0"/>
        <w:textAlignment w:val="baseline"/>
        <w:rPr>
          <w:lang w:val="en-US"/>
        </w:rPr>
      </w:pPr>
      <w:r>
        <w:rPr>
          <w:lang w:val="en-US"/>
        </w:rPr>
        <w:t>R3-1</w:t>
      </w:r>
      <w:r>
        <w:rPr>
          <w:lang w:val="en-US"/>
        </w:rPr>
        <w:t>93509</w:t>
      </w:r>
      <w:r>
        <w:rPr>
          <w:lang w:val="en-US"/>
        </w:rPr>
        <w:t>, RAN3 #</w:t>
      </w:r>
      <w:r>
        <w:rPr>
          <w:lang w:val="en-US"/>
        </w:rPr>
        <w:t>105</w:t>
      </w:r>
    </w:p>
    <w:p w14:paraId="3CCC2441" w14:textId="1462A931" w:rsidR="00846E32" w:rsidRPr="00671901" w:rsidRDefault="00C12D8F" w:rsidP="00671901">
      <w:pPr>
        <w:numPr>
          <w:ilvl w:val="0"/>
          <w:numId w:val="4"/>
        </w:numPr>
        <w:overflowPunct w:val="0"/>
        <w:autoSpaceDE w:val="0"/>
        <w:autoSpaceDN w:val="0"/>
        <w:adjustRightInd w:val="0"/>
        <w:textAlignment w:val="baseline"/>
        <w:rPr>
          <w:lang w:val="en-US"/>
        </w:rPr>
      </w:pPr>
      <w:r>
        <w:rPr>
          <w:lang w:val="en-US"/>
        </w:rPr>
        <w:t>R3-1935</w:t>
      </w:r>
      <w:r>
        <w:rPr>
          <w:lang w:val="en-US"/>
        </w:rPr>
        <w:t>1</w:t>
      </w:r>
      <w:r>
        <w:rPr>
          <w:lang w:val="en-US"/>
        </w:rPr>
        <w:t>0, RAN3 #105</w:t>
      </w:r>
    </w:p>
    <w:bookmarkEnd w:id="3"/>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D04C1" w14:textId="77777777" w:rsidR="002733E8" w:rsidRDefault="002733E8">
      <w:r>
        <w:separator/>
      </w:r>
    </w:p>
  </w:endnote>
  <w:endnote w:type="continuationSeparator" w:id="0">
    <w:p w14:paraId="4AB2BF25" w14:textId="77777777" w:rsidR="002733E8" w:rsidRDefault="002733E8">
      <w:r>
        <w:continuationSeparator/>
      </w:r>
    </w:p>
  </w:endnote>
  <w:endnote w:type="continuationNotice" w:id="1">
    <w:p w14:paraId="4A8C7EEA" w14:textId="77777777" w:rsidR="002733E8" w:rsidRDefault="00273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0E9C" w14:textId="77777777" w:rsidR="002733E8" w:rsidRDefault="002733E8">
      <w:r>
        <w:separator/>
      </w:r>
    </w:p>
  </w:footnote>
  <w:footnote w:type="continuationSeparator" w:id="0">
    <w:p w14:paraId="38C0FAAD" w14:textId="77777777" w:rsidR="002733E8" w:rsidRDefault="002733E8">
      <w:r>
        <w:continuationSeparator/>
      </w:r>
    </w:p>
  </w:footnote>
  <w:footnote w:type="continuationNotice" w:id="1">
    <w:p w14:paraId="44EE89AF" w14:textId="77777777" w:rsidR="002733E8" w:rsidRDefault="00273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2FFD38AC"/>
    <w:multiLevelType w:val="hybridMultilevel"/>
    <w:tmpl w:val="ACA01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8F4CC9"/>
    <w:multiLevelType w:val="hybridMultilevel"/>
    <w:tmpl w:val="02F24F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12"/>
  </w:num>
  <w:num w:numId="4">
    <w:abstractNumId w:val="9"/>
  </w:num>
  <w:num w:numId="5">
    <w:abstractNumId w:val="10"/>
  </w:num>
  <w:num w:numId="6">
    <w:abstractNumId w:val="30"/>
  </w:num>
  <w:num w:numId="7">
    <w:abstractNumId w:val="21"/>
  </w:num>
  <w:num w:numId="8">
    <w:abstractNumId w:val="13"/>
  </w:num>
  <w:num w:numId="9">
    <w:abstractNumId w:val="29"/>
  </w:num>
  <w:num w:numId="10">
    <w:abstractNumId w:val="20"/>
  </w:num>
  <w:num w:numId="11">
    <w:abstractNumId w:val="11"/>
  </w:num>
  <w:num w:numId="12">
    <w:abstractNumId w:val="25"/>
  </w:num>
  <w:num w:numId="13">
    <w:abstractNumId w:val="26"/>
  </w:num>
  <w:num w:numId="14">
    <w:abstractNumId w:val="2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2"/>
  </w:num>
  <w:num w:numId="26">
    <w:abstractNumId w:val="14"/>
  </w:num>
  <w:num w:numId="27">
    <w:abstractNumId w:val="19"/>
  </w:num>
  <w:num w:numId="28">
    <w:abstractNumId w:val="27"/>
  </w:num>
  <w:num w:numId="29">
    <w:abstractNumId w:val="28"/>
  </w:num>
  <w:num w:numId="30">
    <w:abstractNumId w:val="18"/>
  </w:num>
  <w:num w:numId="3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05C2"/>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22B4"/>
    <w:rsid w:val="00103188"/>
    <w:rsid w:val="0010459B"/>
    <w:rsid w:val="00105806"/>
    <w:rsid w:val="00106D69"/>
    <w:rsid w:val="00107F32"/>
    <w:rsid w:val="001100A4"/>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3C24"/>
    <w:rsid w:val="001450A6"/>
    <w:rsid w:val="0014626D"/>
    <w:rsid w:val="0014785F"/>
    <w:rsid w:val="001509F1"/>
    <w:rsid w:val="00151A61"/>
    <w:rsid w:val="00155D37"/>
    <w:rsid w:val="0015684E"/>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F60"/>
    <w:rsid w:val="002733E8"/>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5E95"/>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549E"/>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C8F"/>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6820"/>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9E1"/>
    <w:rsid w:val="00813CDA"/>
    <w:rsid w:val="0081452D"/>
    <w:rsid w:val="008176B8"/>
    <w:rsid w:val="00820849"/>
    <w:rsid w:val="008211F5"/>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45AC"/>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37"/>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4E8F"/>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36B3"/>
    <w:rsid w:val="00B92E27"/>
    <w:rsid w:val="00B931D0"/>
    <w:rsid w:val="00B94EC5"/>
    <w:rsid w:val="00B95C0E"/>
    <w:rsid w:val="00BA0F1F"/>
    <w:rsid w:val="00BA2519"/>
    <w:rsid w:val="00BA4DBE"/>
    <w:rsid w:val="00BA79DD"/>
    <w:rsid w:val="00BA7C82"/>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4610"/>
    <w:rsid w:val="00BF5EEB"/>
    <w:rsid w:val="00BF626E"/>
    <w:rsid w:val="00BF77B2"/>
    <w:rsid w:val="00BF79F1"/>
    <w:rsid w:val="00C01A56"/>
    <w:rsid w:val="00C01E2A"/>
    <w:rsid w:val="00C025B4"/>
    <w:rsid w:val="00C10D1A"/>
    <w:rsid w:val="00C10EDD"/>
    <w:rsid w:val="00C12D8F"/>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620959AB-A955-4C34-8D8C-F6141D00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650</TotalTime>
  <Pages>2</Pages>
  <Words>659</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Amendmends needed to the location reporting</vt:lpstr>
    </vt:vector>
  </TitlesOfParts>
  <Company>Nokia, Nokia Shanghai Bell</Company>
  <LinksUpToDate>false</LinksUpToDate>
  <CharactersWithSpaces>4604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to the partial reset to handle split CU-DU scenarios</dc:title>
  <dc:subject>3GPP RAN3 #105</dc:subject>
  <dc:creator>Benoist Sébire</dc:creator>
  <cp:keywords>&lt;keyword[, keyword, ]&gt;</cp:keywords>
  <dc:description/>
  <cp:lastModifiedBy>Nokia</cp:lastModifiedBy>
  <cp:revision>71</cp:revision>
  <cp:lastPrinted>2019-03-27T07:16:00Z</cp:lastPrinted>
  <dcterms:created xsi:type="dcterms:W3CDTF">2019-03-29T13:42:00Z</dcterms:created>
  <dcterms:modified xsi:type="dcterms:W3CDTF">2019-08-16T11:35:00Z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